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3F" w:rsidRDefault="00BB7E3F" w:rsidP="00BB7E3F">
      <w:pPr>
        <w:spacing w:before="120" w:after="120" w:line="360" w:lineRule="auto"/>
        <w:jc w:val="center"/>
        <w:rPr>
          <w:rFonts w:ascii="Arial" w:hAnsi="Arial" w:cs="Arial"/>
          <w:b/>
          <w:sz w:val="20"/>
          <w:szCs w:val="20"/>
        </w:rPr>
      </w:pPr>
      <w:r>
        <w:rPr>
          <w:rFonts w:ascii="Arial" w:hAnsi="Arial" w:cs="Arial"/>
          <w:b/>
          <w:sz w:val="20"/>
          <w:szCs w:val="20"/>
        </w:rPr>
        <w:t>QUY ĐỊNH</w:t>
      </w:r>
    </w:p>
    <w:p w:rsidR="00BB7E3F" w:rsidRDefault="00BB7E3F" w:rsidP="00BB7E3F">
      <w:pPr>
        <w:spacing w:before="120" w:after="120" w:line="360" w:lineRule="auto"/>
        <w:jc w:val="center"/>
        <w:rPr>
          <w:rFonts w:ascii="Arial" w:hAnsi="Arial" w:cs="Arial"/>
          <w:b/>
          <w:sz w:val="20"/>
          <w:szCs w:val="20"/>
        </w:rPr>
      </w:pPr>
      <w:r>
        <w:rPr>
          <w:rFonts w:ascii="Arial" w:hAnsi="Arial" w:cs="Arial"/>
          <w:b/>
          <w:sz w:val="20"/>
          <w:szCs w:val="20"/>
        </w:rPr>
        <w:t>CỦA BỘ CHÍNH TRỊ</w:t>
      </w:r>
    </w:p>
    <w:p w:rsidR="00BB7E3F" w:rsidRDefault="00BB7E3F" w:rsidP="00BB7E3F">
      <w:pPr>
        <w:spacing w:before="120" w:after="120" w:line="360" w:lineRule="auto"/>
        <w:jc w:val="center"/>
        <w:rPr>
          <w:rFonts w:ascii="Arial" w:hAnsi="Arial" w:cs="Arial"/>
          <w:b/>
          <w:sz w:val="20"/>
          <w:szCs w:val="20"/>
        </w:rPr>
      </w:pPr>
      <w:r>
        <w:rPr>
          <w:rFonts w:ascii="Arial" w:hAnsi="Arial" w:cs="Arial"/>
          <w:b/>
          <w:sz w:val="20"/>
          <w:szCs w:val="20"/>
        </w:rPr>
        <w:t>về một số việc cần làm ngay để tăng cường</w:t>
      </w:r>
    </w:p>
    <w:p w:rsidR="00BB7E3F" w:rsidRDefault="00BB7E3F" w:rsidP="00BB7E3F">
      <w:pPr>
        <w:spacing w:before="120" w:after="120" w:line="360" w:lineRule="auto"/>
        <w:jc w:val="center"/>
        <w:rPr>
          <w:rFonts w:ascii="Arial" w:hAnsi="Arial" w:cs="Arial"/>
          <w:b/>
          <w:sz w:val="20"/>
          <w:szCs w:val="20"/>
        </w:rPr>
      </w:pPr>
      <w:r>
        <w:rPr>
          <w:rFonts w:ascii="Arial" w:hAnsi="Arial" w:cs="Arial"/>
          <w:b/>
          <w:sz w:val="20"/>
          <w:szCs w:val="20"/>
        </w:rPr>
        <w:t>vai trò nêu gương của cán bộ, đảng viên</w:t>
      </w:r>
    </w:p>
    <w:p w:rsidR="00BB7E3F" w:rsidRDefault="00BB7E3F" w:rsidP="00BB7E3F">
      <w:pPr>
        <w:spacing w:before="120" w:after="120" w:line="360" w:lineRule="auto"/>
        <w:jc w:val="center"/>
        <w:rPr>
          <w:rFonts w:ascii="Arial" w:hAnsi="Arial" w:cs="Arial"/>
          <w:sz w:val="20"/>
          <w:szCs w:val="20"/>
        </w:rPr>
      </w:pPr>
      <w:r>
        <w:rPr>
          <w:rFonts w:ascii="Arial" w:hAnsi="Arial" w:cs="Arial"/>
          <w:sz w:val="20"/>
          <w:szCs w:val="20"/>
        </w:rPr>
        <w:t>________</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 Căn cứ Điều lệ Đảng;</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 Căn cứ Quy chế làm việc của Ban Chấp hành Trung ương, Bộ Chính trị, Ban Bí thư khoá XII;</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Để góp phần thực hiện Nghị quyết Hội nghị lần thứ tư Ban Chấp hành Trung ương Đảng khoá XII về xây dựng Đảng và tăng cường vai trò nêu gương của cán bộ, đảng viên,</w:t>
      </w:r>
    </w:p>
    <w:p w:rsidR="00BB7E3F" w:rsidRDefault="00BB7E3F" w:rsidP="00BB7E3F">
      <w:pPr>
        <w:spacing w:before="120" w:after="120" w:line="360" w:lineRule="auto"/>
        <w:jc w:val="center"/>
        <w:rPr>
          <w:rFonts w:ascii="Arial" w:hAnsi="Arial" w:cs="Arial"/>
          <w:b/>
          <w:sz w:val="20"/>
          <w:szCs w:val="20"/>
        </w:rPr>
      </w:pPr>
      <w:r>
        <w:rPr>
          <w:rFonts w:ascii="Arial" w:hAnsi="Arial" w:cs="Arial"/>
          <w:b/>
          <w:sz w:val="20"/>
          <w:szCs w:val="20"/>
        </w:rPr>
        <w:t>BỘ CHÍNH TRỊ QUY ĐỊNH</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1- Nghiêm cấm việc lợi dụng tổ chức giao lưu, liên hoan, gặp mặt, chúc mừng trước, trong và sau mỗi kỳ đại hội, hội nghị, kỳ họp hoặc các dịp mít tinh, kỷ niệm ngày truyền thống, khai giảng, bế giảng hoặc khi cán bộ được đề bạt, bổ nhiệm, phong, thăng quân hàm, luân chuyển, thuyên chuyển công tác,... để ăn uống, "tiệc tùng", tặng, nhận quà, với động cơ vụ lợi.</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2- Việc tổ chức cưới hỏi, ma chay, giỗ, tết, sinh nhật phải thực hiện đơn giản, tiết kiệm, bảo đảm nếp sống văn hoá mới theo đúng quy định của Đảng và Nhà nước; phù hợp với thuần phong mỹ tục, bản sắc văn hoá tốt đẹp của dân tộc. Nghiêm cấm việc lợi dụng để "biếu xén", đưa tặng quà với động cơ vụ lợi, không trong sáng. Chấm dứt ngay tình trạng ăn uống, "chè chén" xa hoa, lãng phí, gây phản cảm trong dư luận xã hội.</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3- Khi có đoàn công tác đến, địa phương, cơ quan, đơn vị, cơ sở phải thực hiện nghiêm các quy định của Đảng và Nhà nước về chế độ lễ tân, chế độ công tác; không tổ chức đoàn xe đưa đón, khẩu hiệu, trải thảm, tặng quà và tổ chức ăn uống lãng phí.</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4- Các cấp uỷ, tổ chức đảng lãnh đạo làm tốt công tác giáo dục chính trị, tư tưởng; nêu cao tính tiên phong, gương mẫu của cán bộ, đảng viên trong việc thực hiện Quy định của Bộ Chính trị. Từng đồng chí Uỷ viên Trung ương, Uỷ viên Bộ Chính trị, Ban Bí thư, từng đồng chí đứng đầu cấp uỷ, chính quyền các cấp phải tự giác, gương mẫu thực hiện và chỉ đạo thực hiện Quy định này.</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5- Phát huy vai trò tích cực của nhân dân, Mặt trận Tổ quốc và các đoàn thể chính trị - xã hội, các cơ quan báo chí trong việc tuyên truyền, phổ biến, giám sát thực hiện quy định này; kịp thời biểu dương gương người tốt, việc tốt, phê phán những tập thể, cá nhân vi phạm.</w:t>
      </w:r>
    </w:p>
    <w:p w:rsidR="00BB7E3F" w:rsidRDefault="00BB7E3F" w:rsidP="00BB7E3F">
      <w:pPr>
        <w:spacing w:before="120" w:after="120" w:line="360" w:lineRule="auto"/>
        <w:rPr>
          <w:rFonts w:ascii="Arial" w:hAnsi="Arial" w:cs="Arial"/>
          <w:sz w:val="20"/>
          <w:szCs w:val="20"/>
        </w:rPr>
      </w:pPr>
      <w:r>
        <w:rPr>
          <w:rFonts w:ascii="Arial" w:hAnsi="Arial" w:cs="Arial"/>
          <w:sz w:val="20"/>
          <w:szCs w:val="20"/>
        </w:rPr>
        <w:t>6- Giao cấp uỷ, tổ chức đảng các cấp lãnh đạo thực hiện nghiêm Quy định này. Quy định này được phổ biến đến chi bộ.</w:t>
      </w:r>
    </w:p>
    <w:p w:rsidR="00BB7E3F" w:rsidRDefault="00BB7E3F" w:rsidP="00BB7E3F">
      <w:pPr>
        <w:spacing w:before="120" w:after="120" w:line="360" w:lineRule="auto"/>
        <w:rPr>
          <w:rFonts w:ascii="Arial" w:hAnsi="Arial" w:cs="Arial"/>
          <w:sz w:val="20"/>
          <w:szCs w:val="20"/>
        </w:rPr>
      </w:pPr>
    </w:p>
    <w:p w:rsidR="00BB7E3F" w:rsidRDefault="00BB7E3F" w:rsidP="00BB7E3F">
      <w:pPr>
        <w:spacing w:before="120" w:after="120" w:line="360" w:lineRule="auto"/>
        <w:rPr>
          <w:rFonts w:ascii="Arial" w:hAnsi="Arial" w:cs="Arial"/>
          <w:sz w:val="20"/>
          <w:szCs w:val="20"/>
        </w:rPr>
      </w:pPr>
    </w:p>
    <w:p w:rsidR="008F4613" w:rsidRDefault="00BB7E3F">
      <w:r>
        <w:t>V</w:t>
      </w:r>
      <w:bookmarkStart w:id="0" w:name="_GoBack"/>
      <w:bookmarkEnd w:id="0"/>
    </w:p>
    <w:sectPr w:rsidR="008F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3F"/>
    <w:rsid w:val="008F4613"/>
    <w:rsid w:val="00BB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AF01-EA8F-487A-876B-502A4D4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E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2017-03-13T08:40:00Z</dcterms:created>
  <dcterms:modified xsi:type="dcterms:W3CDTF">2017-03-13T08:41:00Z</dcterms:modified>
</cp:coreProperties>
</file>